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spacing w:val="20"/>
          <w:sz w:val="24"/>
          <w:szCs w:val="24"/>
        </w:rPr>
      </w:pPr>
      <w:r>
        <w:rPr>
          <w:rFonts w:cs="Arial" w:ascii="Arial" w:hAnsi="Arial"/>
          <w:b/>
          <w:spacing w:val="20"/>
          <w:sz w:val="24"/>
          <w:szCs w:val="24"/>
        </w:rPr>
        <w:t xml:space="preserve">Výzva k podávání žádostí o poskytnutí dotace v roce 2020 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20"/>
          <w:sz w:val="24"/>
          <w:szCs w:val="24"/>
        </w:rPr>
        <w:t>z podprogramu Demolice budov v sociálně vyloučených lokalitách</w:t>
      </w:r>
    </w:p>
    <w:p>
      <w:pPr>
        <w:pStyle w:val="Normal"/>
        <w:spacing w:lineRule="auto" w:line="240" w:before="240" w:after="12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Dne 15. listopadu 2019 Ministerstvo pro místní rozvoj </w:t>
      </w:r>
      <w:r>
        <w:rPr>
          <w:rFonts w:cs="Arial" w:ascii="Arial" w:hAnsi="Arial"/>
          <w:sz w:val="20"/>
          <w:szCs w:val="20"/>
        </w:rPr>
        <w:t>(dále jen „MMR“)</w:t>
      </w:r>
      <w:r>
        <w:rPr>
          <w:rFonts w:cs="Arial" w:ascii="Arial" w:hAnsi="Arial"/>
          <w:b/>
          <w:sz w:val="20"/>
          <w:szCs w:val="20"/>
        </w:rPr>
        <w:t xml:space="preserve"> vyhlašuje výzvu k podávání žádostí o poskytnutí dotace </w:t>
      </w:r>
      <w:r>
        <w:rPr>
          <w:rFonts w:cs="Arial" w:ascii="Arial" w:hAnsi="Arial"/>
          <w:sz w:val="20"/>
          <w:szCs w:val="20"/>
        </w:rPr>
        <w:t>(dále jen „výzva“, „žádost“)</w:t>
      </w:r>
      <w:r>
        <w:rPr>
          <w:rFonts w:cs="Arial" w:ascii="Arial" w:hAnsi="Arial"/>
          <w:b/>
          <w:sz w:val="20"/>
          <w:szCs w:val="20"/>
        </w:rPr>
        <w:t xml:space="preserve"> z podprogramu Demolice budov v sociálně vyloučených lokalitách</w:t>
      </w:r>
      <w:r>
        <w:rPr>
          <w:rFonts w:cs="Arial" w:ascii="Arial" w:hAnsi="Arial"/>
          <w:sz w:val="20"/>
          <w:szCs w:val="20"/>
        </w:rPr>
        <w:t xml:space="preserve"> (dále jen „podprogramu“)</w:t>
      </w:r>
      <w:r>
        <w:rPr>
          <w:rFonts w:cs="Arial" w:ascii="Arial" w:hAnsi="Arial"/>
          <w:b/>
          <w:sz w:val="20"/>
          <w:szCs w:val="20"/>
        </w:rPr>
        <w:t xml:space="preserve"> pro dotační titul: </w:t>
      </w:r>
    </w:p>
    <w:p>
      <w:pPr>
        <w:pStyle w:val="Normal"/>
        <w:spacing w:before="60" w:after="0"/>
        <w:ind w:left="1413" w:hanging="70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DT1 </w:t>
        <w:tab/>
        <w:t>Demolice budov v sociálně vyloučených lokalitách na území Moravskoslezského, Ústeckého a Karlovarského kraje (dále jen „ DT1“)</w:t>
      </w:r>
    </w:p>
    <w:p>
      <w:pPr>
        <w:pStyle w:val="Normal"/>
        <w:spacing w:before="60" w:after="0"/>
        <w:ind w:left="1413" w:hanging="70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DT2 </w:t>
        <w:tab/>
        <w:t>Demolice budov v sociálně vyloučených lokalitách na území České republiky vyjma krajů uvedených v DT1 (dále jen „DT2“)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 xml:space="preserve">Číslo výzvy </w:t>
      </w:r>
    </w:p>
    <w:p>
      <w:pPr>
        <w:pStyle w:val="ListParagraph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1/2020/117D081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 xml:space="preserve">Věcné zaměření výzvy </w:t>
      </w:r>
    </w:p>
    <w:p>
      <w:pPr>
        <w:pStyle w:val="ListParagraph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Cílem výzvy, resp. podprogramu je podpořit demolice budov dříve využívaných k bydlení, ubytování či rekreaci v obcích s rizikem vzniku sociálně vyloučené lokality a připravit tak dané území, aby jej bylo možné znovu plnohodnotně využít v dalším rozvoji obce a zamezit tím vzniku oblastí se sociální segregací.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>Účastník podprogramu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Účastník podprogramu (oprávněný žadatel o dotaci) je stanoven v Zásadách podprogramu pro poskytování dotací (dále jen „zásady“), článek číslo 3. Zásady jsou přílohou číslo 1 této výzvy. </w:t>
      </w:r>
    </w:p>
    <w:p>
      <w:pPr>
        <w:pStyle w:val="Nadpis1"/>
        <w:numPr>
          <w:ilvl w:val="0"/>
          <w:numId w:val="2"/>
        </w:numPr>
        <w:spacing w:before="240" w:after="60"/>
        <w:ind w:left="714" w:hanging="357"/>
        <w:rPr/>
      </w:pPr>
      <w:r>
        <w:rPr/>
        <w:t>Výše dotace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Dotace je poskytována až do výše 70 % skutečně vynaložených uznatelných nákladů akce. Maximální výše dotace se stanovuje dle velikosti žadatele následujícím způsobem:</w:t>
      </w:r>
    </w:p>
    <w:p>
      <w:pPr>
        <w:pStyle w:val="ListParagraph"/>
        <w:numPr>
          <w:ilvl w:val="0"/>
          <w:numId w:val="5"/>
        </w:numPr>
        <w:spacing w:lineRule="auto" w:line="240" w:before="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obec do 3 000 obyvatel: </w:t>
        <w:tab/>
        <w:t>maximální výše dotace činí 70 % způsobilých výdajů,</w:t>
      </w:r>
    </w:p>
    <w:p>
      <w:pPr>
        <w:pStyle w:val="ListParagraph"/>
        <w:numPr>
          <w:ilvl w:val="0"/>
          <w:numId w:val="5"/>
        </w:numPr>
        <w:spacing w:lineRule="auto" w:line="240" w:before="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obec od 3 001 do 10 000: </w:t>
        <w:tab/>
        <w:t xml:space="preserve">maximální výše dotace činí 60 % způsobilých výdajů, </w:t>
      </w:r>
    </w:p>
    <w:p>
      <w:pPr>
        <w:pStyle w:val="ListParagraph"/>
        <w:numPr>
          <w:ilvl w:val="0"/>
          <w:numId w:val="5"/>
        </w:numPr>
        <w:spacing w:lineRule="auto" w:line="240" w:before="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obce od 10 001 obyvatel: </w:t>
        <w:tab/>
        <w:t>maximální výše dotace činí 50 % způsobilých výdajů,</w:t>
      </w:r>
    </w:p>
    <w:p>
      <w:pPr>
        <w:pStyle w:val="ListParagraph"/>
        <w:numPr>
          <w:ilvl w:val="0"/>
          <w:numId w:val="5"/>
        </w:numPr>
        <w:spacing w:lineRule="auto" w:line="240" w:before="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kraje: </w:t>
        <w:tab/>
        <w:tab/>
        <w:tab/>
        <w:tab/>
        <w:t>maximální výše dotace činí 50 % způsobilých výdajů.</w:t>
      </w:r>
    </w:p>
    <w:p>
      <w:pPr>
        <w:pStyle w:val="Normal"/>
        <w:spacing w:lineRule="auto" w:line="240" w:before="0" w:after="12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Účastník podprogramu může v dané výzvě podat více žádostí. Součet požadovaných dotací v rámci jednoho dotačního titulu v rámci této výzvy může být maximálně 10 mil. Kč pro jednoho žadatele.</w:t>
      </w:r>
    </w:p>
    <w:p>
      <w:pPr>
        <w:pStyle w:val="Normal"/>
        <w:spacing w:lineRule="auto" w:line="240" w:before="0" w:after="12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Dolní limit dotace při podání žádosti činí 300 tis. Kč.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>Harmonogram výzvy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Lhůta pro doručení žádosti začíná běžet dnem 15. listopadu 2019 a končí dnem  14. února 2020. Žádosti budou přijímány nejpozději do  14. února 2020, do 12 hod. (včetně), přičemž rozhodným bude den podání žádosti do podatelny MMR.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Zahájení příjmu žádostí </w:t>
        <w:tab/>
        <w:tab/>
        <w:tab/>
        <w:tab/>
        <w:t xml:space="preserve"> 15. listopadu 2019 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Ukončení příjmu žádostí </w:t>
        <w:tab/>
        <w:tab/>
        <w:tab/>
        <w:tab/>
        <w:t xml:space="preserve">14. února 2020 </w:t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Předpokládaný termín pro zveřejnění výsledků </w:t>
        <w:tab/>
        <w:t>duben až květen  2020</w:t>
      </w:r>
      <w:r>
        <w:rPr>
          <w:rFonts w:cs="Arial" w:ascii="Arial" w:hAnsi="Arial"/>
          <w:sz w:val="20"/>
          <w:szCs w:val="20"/>
          <w:lang w:val="en-US"/>
        </w:rPr>
        <w:t>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120"/>
        <w:ind w:left="36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*MMR si vyhrazuje právo na změnu termínu v závislosti na množství podaných žádostí.  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 xml:space="preserve">Postup podání žádosti </w:t>
      </w:r>
    </w:p>
    <w:p>
      <w:pPr>
        <w:pStyle w:val="Normal"/>
        <w:spacing w:lineRule="auto" w:line="240" w:before="0" w:after="4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Žádosti budou účastníci podprogramu </w:t>
      </w:r>
      <w:r>
        <w:rPr>
          <w:rFonts w:cs="Arial" w:ascii="Arial" w:hAnsi="Arial"/>
          <w:sz w:val="20"/>
          <w:szCs w:val="20"/>
          <w:u w:val="single"/>
        </w:rPr>
        <w:t>podávat na MMR</w:t>
      </w:r>
      <w:r>
        <w:rPr>
          <w:rFonts w:cs="Arial" w:ascii="Arial" w:hAnsi="Arial"/>
          <w:sz w:val="20"/>
          <w:szCs w:val="20"/>
        </w:rPr>
        <w:t xml:space="preserve"> prostřednictvím poskytovatele poštovních služeb nebo osobně v podatelně MMR. </w:t>
      </w:r>
    </w:p>
    <w:p>
      <w:pPr>
        <w:pStyle w:val="Normal"/>
        <w:spacing w:lineRule="auto" w:line="240" w:before="0" w:after="0"/>
        <w:ind w:left="442" w:firstLine="34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Adresa: Ministerstvo pro místní rozvoj, Staroměstské nám. 6, 110 15 Praha 1</w:t>
      </w:r>
    </w:p>
    <w:p>
      <w:pPr>
        <w:pStyle w:val="Normal"/>
        <w:spacing w:lineRule="auto" w:line="240" w:before="0" w:after="120"/>
        <w:ind w:left="440" w:firstLine="348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ID datové schránky: 26iaava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Účastník podprogramu: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založí a vyplní žádost v internetové aplikaci DIS ZAD (www3.mmr.cz/zad);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následně vloží povinné přílohy;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 uvede do stavu „podána“;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vygenerovaný formulář žádosti vytiskne, opatří podpisem a razítkem;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podá žádost na MMR</w:t>
      </w:r>
      <w:r>
        <w:rPr>
          <w:rFonts w:cs="Arial" w:ascii="Arial" w:hAnsi="Arial"/>
          <w:sz w:val="20"/>
          <w:szCs w:val="20"/>
        </w:rPr>
        <w:t xml:space="preserve"> (formulář žádosti včetně příloh). 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Přílohy pro jednotlivé DT jsou uvedeny v odstavci č. 9 zásad podprogramu. Přílohy se předkládají v podobě originálu nebo prosté kopie, v jednom vyhotovení.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Žádost </w:t>
      </w:r>
      <w:r>
        <w:rPr>
          <w:rFonts w:cs="Arial" w:ascii="Arial" w:hAnsi="Arial"/>
          <w:sz w:val="20"/>
          <w:szCs w:val="20"/>
          <w:u w:val="single"/>
        </w:rPr>
        <w:t>podaná na MMR</w:t>
      </w:r>
      <w:r>
        <w:rPr>
          <w:rFonts w:cs="Arial" w:ascii="Arial" w:hAnsi="Arial"/>
          <w:sz w:val="20"/>
          <w:szCs w:val="20"/>
        </w:rPr>
        <w:t xml:space="preserve"> v listinné podobě se předkládá v nerozebíratelném provedení (např. kroužková, knižní, spirálová nebo tepelná vazba).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Žádost </w:t>
      </w:r>
      <w:r>
        <w:rPr>
          <w:rFonts w:cs="Arial" w:ascii="Arial" w:hAnsi="Arial"/>
          <w:sz w:val="20"/>
          <w:szCs w:val="20"/>
          <w:u w:val="single"/>
        </w:rPr>
        <w:t>podaná na MMR</w:t>
      </w:r>
      <w:r>
        <w:rPr>
          <w:rFonts w:cs="Arial" w:ascii="Arial" w:hAnsi="Arial"/>
          <w:sz w:val="20"/>
          <w:szCs w:val="20"/>
        </w:rPr>
        <w:t xml:space="preserve">, resp. zaslaná prostřednictvím datové schránky musí být doručena z datové schránky účastníka podprogramu, jednou datovou zprávou a opatřena elektronickým podpisem účastníka podprogramu v souladu se zákonem č. 297/2016 Sb., o službách vytvářejících důvěru pro elektronické transakce.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Předmět zprávy bude obsahovat číselný název výzvy </w:t>
      </w:r>
      <w:r>
        <w:rPr>
          <w:rFonts w:cs="Arial" w:ascii="Arial" w:hAnsi="Arial"/>
          <w:b/>
          <w:sz w:val="20"/>
          <w:szCs w:val="20"/>
        </w:rPr>
        <w:t>1/2020/117D081</w:t>
      </w:r>
      <w:r>
        <w:rPr>
          <w:rFonts w:cs="Arial" w:ascii="Arial" w:hAnsi="Arial"/>
          <w:sz w:val="20"/>
          <w:szCs w:val="20"/>
        </w:rPr>
        <w:t xml:space="preserve">.  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 xml:space="preserve">Alokace výzvy </w:t>
        <w:tab/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Výše alokace pro tuto výzvu je 100 mil. Kč.   </w:t>
      </w:r>
    </w:p>
    <w:p>
      <w:pPr>
        <w:pStyle w:val="Normal"/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MMR si vyhrazuje právo na změnu alokace uvedené v předchozím odstavci nebo zrušení výzvy v případě nedostatku finančních prostředků. </w:t>
      </w:r>
    </w:p>
    <w:p>
      <w:pPr>
        <w:pStyle w:val="Nadpis1"/>
        <w:numPr>
          <w:ilvl w:val="0"/>
          <w:numId w:val="2"/>
        </w:numPr>
        <w:spacing w:before="240" w:after="60"/>
        <w:rPr/>
      </w:pPr>
      <w:r>
        <w:rPr/>
        <w:t xml:space="preserve">Druh výzvy </w:t>
        <w:tab/>
      </w:r>
    </w:p>
    <w:p>
      <w:pPr>
        <w:pStyle w:val="Normal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Kolová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  <w:tab w:val="left" w:pos="993" w:leader="none"/>
        </w:tabs>
        <w:spacing w:before="240" w:after="60"/>
        <w:rPr/>
      </w:pPr>
      <w:r>
        <w:rPr/>
        <w:t xml:space="preserve">Řízení o poskytnutí dotace </w:t>
      </w:r>
    </w:p>
    <w:p>
      <w:pPr>
        <w:pStyle w:val="ListParagraph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Řízení o poskytnutí dotace vede MMR a postupuje v něm podle §14 a násl. zákona č. 218/2000 Sb., o rozpočtových pravidlech a o změně některých souvisejících zákonů. </w:t>
      </w:r>
    </w:p>
    <w:p>
      <w:pPr>
        <w:pStyle w:val="Nadpis1"/>
        <w:numPr>
          <w:ilvl w:val="0"/>
          <w:numId w:val="2"/>
        </w:numPr>
        <w:spacing w:before="0" w:after="60"/>
        <w:rPr/>
      </w:pPr>
      <w:r>
        <w:rPr/>
        <w:t>Financování akce</w:t>
      </w:r>
    </w:p>
    <w:p>
      <w:pPr>
        <w:pStyle w:val="ListParagraph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Viz zásady podprogramu, článek 4.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</w:tabs>
        <w:spacing w:before="0" w:after="60"/>
        <w:rPr/>
      </w:pPr>
      <w:r>
        <w:rPr/>
        <w:t xml:space="preserve">Podmínky pro poskytnutí dotace  </w:t>
      </w:r>
    </w:p>
    <w:p>
      <w:pPr>
        <w:pStyle w:val="ListParagraph"/>
        <w:spacing w:lineRule="auto" w:line="240" w:before="0" w:after="6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Viz zásady podprogramu, článek 7.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</w:tabs>
        <w:spacing w:before="0" w:after="60"/>
        <w:rPr/>
      </w:pPr>
      <w:r>
        <w:rPr/>
        <w:t>Způsob a kritéria hodnocení žádosti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Hodnocení žádosti je prováděno podle pravidel stanovených ve výzvě, resp. v zásadách podprogramu a dělí se na formální a věcné.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4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Formálním hodnocením se rozumí posouzení: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1077" w:hanging="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dodržení termínu pro podání žádosti,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1077" w:hanging="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dodržení způsobu podání žádosti,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1077" w:hanging="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podání žádosti oprávněným žadatelem,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1077" w:hanging="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dodržení minimální přípustné výše požadované dotace,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1077" w:hanging="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 osoby oprávněné jednat za žadatele,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60"/>
        <w:ind w:left="1077" w:hanging="8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připojení všech požadovaných příloh žádosti.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Žádost, která splní podmínky formálního hodnocení, lze hodnotit věcně.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6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Věcným hodnocením se rozumí posouzení žádosti po obsahové stránce, jejího souladu s cílem a věcným zaměřením výzvy, resp. podprogramu a dalšími podmínkami poskytnutí dotace.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2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Kritéria věcného hodnocení jsou uvedeny v příloze č. 2 této výzvy.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</w:tabs>
        <w:spacing w:before="0" w:after="60"/>
        <w:rPr/>
      </w:pPr>
      <w:r>
        <w:rPr/>
        <w:t xml:space="preserve">Úpravy žádosti a její doplnění </w:t>
      </w:r>
    </w:p>
    <w:p>
      <w:pPr>
        <w:pStyle w:val="Normal"/>
        <w:spacing w:lineRule="auto" w:line="240" w:before="0" w:after="12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Trpí-li žádost odstranitelnými vadami, MMR, jako správce podprogramu a poskytovatel dotace, nebude vyzývat účastníka podprogramu k odstranění těchto vad. 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</w:tabs>
        <w:spacing w:before="0" w:after="60"/>
        <w:rPr/>
      </w:pPr>
      <w:r>
        <w:rPr/>
        <w:t>Upozornění</w:t>
      </w:r>
    </w:p>
    <w:p>
      <w:pPr>
        <w:pStyle w:val="Normal"/>
        <w:spacing w:lineRule="auto" w:line="240" w:before="0" w:after="12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Zákonem č. 171/2012 Sb., kterým se mění zákon č. 218/2000 Sb. bylo uloženo zveřejňování všech informací, které jsou rozhodné pro poskytování dotací včetně všech dokumentů, kterými se při rozhodování o nich poskytovatel řídí.  Z těchto důvodů jsou požadovány všechny dokumenty také v elektronické podobě. Zveřejnění informací a dokumentů na internetových stránkách zajišťuje dle výše uvedeného zákona Ministerstvo financí. </w:t>
      </w:r>
    </w:p>
    <w:p>
      <w:pPr>
        <w:pStyle w:val="Nadpis1"/>
        <w:numPr>
          <w:ilvl w:val="0"/>
          <w:numId w:val="2"/>
        </w:numPr>
        <w:tabs>
          <w:tab w:val="left" w:pos="284" w:leader="none"/>
          <w:tab w:val="left" w:pos="426" w:leader="none"/>
        </w:tabs>
        <w:spacing w:before="0" w:after="60"/>
        <w:rPr/>
      </w:pPr>
      <w:r>
        <w:rPr/>
        <w:t>Poskytování informací žadatelům</w:t>
      </w:r>
    </w:p>
    <w:p>
      <w:pPr>
        <w:pStyle w:val="Normal"/>
        <w:spacing w:lineRule="auto" w:line="240" w:before="0" w:after="120"/>
        <w:ind w:left="36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E-mail: </w:t>
      </w:r>
      <w:hyperlink r:id="rId2">
        <w:r>
          <w:rPr>
            <w:rStyle w:val="Internetovodkaz"/>
            <w:rFonts w:cs="Arial" w:ascii="Arial" w:hAnsi="Arial"/>
            <w:sz w:val="20"/>
            <w:szCs w:val="20"/>
          </w:rPr>
          <w:t>Michaela.Markova@mmr.cz</w:t>
        </w:r>
      </w:hyperlink>
      <w:r>
        <w:rPr>
          <w:rStyle w:val="Internetovodkaz"/>
          <w:rFonts w:cs="Arial" w:ascii="Arial" w:hAnsi="Arial"/>
          <w:sz w:val="20"/>
          <w:szCs w:val="20"/>
        </w:rPr>
        <w:t xml:space="preserve">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Příloha: </w:t>
      </w:r>
    </w:p>
    <w:p>
      <w:pPr>
        <w:pStyle w:val="Normal"/>
        <w:spacing w:lineRule="auto" w:line="240" w:before="0" w:after="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Č. 1: Zásady podprogramu pro poskytování dotací č.j.:  47220/2019-57</w:t>
      </w:r>
    </w:p>
    <w:p>
      <w:pPr>
        <w:pStyle w:val="Normal"/>
        <w:spacing w:lineRule="auto" w:line="240" w:before="0" w:after="40"/>
        <w:jc w:val="both"/>
        <w:rPr/>
      </w:pPr>
      <w:r>
        <w:rPr>
          <w:rFonts w:cs="Arial" w:ascii="Arial" w:hAnsi="Arial"/>
          <w:sz w:val="20"/>
          <w:szCs w:val="20"/>
        </w:rPr>
        <w:t xml:space="preserve">Č. 2: Kritéria pro výběr žádostí podprogramu </w:t>
      </w:r>
      <w:r>
        <w:rPr>
          <w:rFonts w:cs="Arial" w:ascii="Arial" w:hAnsi="Arial"/>
          <w:spacing w:val="20"/>
          <w:sz w:val="20"/>
          <w:szCs w:val="20"/>
        </w:rPr>
        <w:t>117D081</w:t>
      </w:r>
      <w:r>
        <w:rPr>
          <w:rFonts w:cs="Arial" w:ascii="Arial" w:hAnsi="Arial"/>
          <w:sz w:val="20"/>
          <w:szCs w:val="20"/>
        </w:rPr>
        <w:t xml:space="preserve"> 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rFonts w:ascii="Arial" w:hAnsi="Arial" w:cs="Arial"/>
        <w:sz w:val="20"/>
        <w:szCs w:val="20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0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>č</w:t>
    </w:r>
    <w:r>
      <w:rPr>
        <w:rFonts w:cs="Arial" w:ascii="Arial" w:hAnsi="Arial"/>
        <w:sz w:val="20"/>
        <w:szCs w:val="20"/>
      </w:rPr>
      <w:t>.j.: MMR-47219/2019-57</w:t>
    </w:r>
  </w:p>
  <w:p>
    <w:pPr>
      <w:pStyle w:val="Zhlav"/>
      <w:spacing w:before="0" w:after="360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54b58"/>
    <w:pPr>
      <w:keepNext w:val="true"/>
      <w:keepLines/>
      <w:numPr>
        <w:ilvl w:val="0"/>
        <w:numId w:val="1"/>
      </w:numPr>
      <w:tabs>
        <w:tab w:val="clear" w:pos="708"/>
        <w:tab w:val="left" w:pos="284" w:leader="none"/>
      </w:tabs>
      <w:spacing w:lineRule="auto" w:line="240" w:before="240" w:after="120"/>
      <w:outlineLvl w:val="0"/>
    </w:pPr>
    <w:rPr>
      <w:rFonts w:ascii="Arial" w:hAnsi="Arial" w:eastAsia="" w:cs="" w:cstheme="majorBidi" w:eastAsiaTheme="majorEastAsia"/>
      <w:b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ec525d"/>
    <w:rPr/>
  </w:style>
  <w:style w:type="character" w:styleId="ZpatChar" w:customStyle="1">
    <w:name w:val="Zápatí Char"/>
    <w:basedOn w:val="DefaultParagraphFont"/>
    <w:link w:val="Zpat"/>
    <w:uiPriority w:val="99"/>
    <w:qFormat/>
    <w:rsid w:val="00ec525d"/>
    <w:rPr/>
  </w:style>
  <w:style w:type="character" w:styleId="Internetovodkaz">
    <w:name w:val="Internetový odkaz"/>
    <w:basedOn w:val="DefaultParagraphFont"/>
    <w:uiPriority w:val="99"/>
    <w:unhideWhenUsed/>
    <w:rsid w:val="003e6fec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qFormat/>
    <w:rsid w:val="00854b58"/>
    <w:rPr>
      <w:rFonts w:ascii="Arial" w:hAnsi="Arial" w:eastAsia="" w:cs="" w:cstheme="majorBidi" w:eastAsiaTheme="majorEastAsia"/>
      <w:b/>
      <w:szCs w:val="32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222df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e326b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c52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c52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222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haela.Markova@mmr.cz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LibreOffice/6.3.2.2$Windows_X86_64 LibreOffice_project/98b30e735bda24bc04ab42594c85f7fd8be07b9c</Application>
  <Pages>3</Pages>
  <Words>847</Words>
  <Characters>4954</Characters>
  <CharactersWithSpaces>5775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2018-11-16T08:47:00Z</dcterms:created>
  <dc:creator>uzivatel</dc:creator>
  <dc:description/>
  <dc:language>cs-CZ</dc:language>
  <cp:lastModifiedBy>Tichá Miroslava</cp:lastModifiedBy>
  <dcterms:modified xsi:type="dcterms:W3CDTF">2019-11-06T19:50:00Z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